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CD1" w:rsidRPr="00E97EDE" w:rsidRDefault="00E97EDE" w:rsidP="00A22CD1">
      <w:pPr>
        <w:jc w:val="left"/>
        <w:rPr>
          <w:b/>
        </w:rPr>
      </w:pPr>
      <w:r>
        <w:rPr>
          <w:b/>
        </w:rPr>
        <w:t>Ładowanie</w:t>
      </w:r>
    </w:p>
    <w:p w:rsidR="00E97EDE" w:rsidRDefault="00E97EDE" w:rsidP="009D5A43">
      <w:pPr>
        <w:pStyle w:val="Listeafsnit"/>
        <w:numPr>
          <w:ilvl w:val="0"/>
          <w:numId w:val="1"/>
        </w:numPr>
        <w:ind w:firstLineChars="0"/>
        <w:jc w:val="left"/>
      </w:pPr>
      <w:r>
        <w:t>Ostrożnie podłącz kabel micro USB do portu ładowania micro USB na prawej słuchawce. Podłącz drugi koniec kabla albo do portu USB komputera, albo do kompatybilnej z USB ładowarki samochodowej lub ściennej.</w:t>
      </w:r>
    </w:p>
    <w:p w:rsidR="00E97EDE" w:rsidRDefault="00E97EDE" w:rsidP="009D5A43">
      <w:pPr>
        <w:pStyle w:val="Listeafsnit"/>
        <w:numPr>
          <w:ilvl w:val="0"/>
          <w:numId w:val="1"/>
        </w:numPr>
        <w:ind w:firstLineChars="0"/>
        <w:jc w:val="left"/>
      </w:pPr>
      <w:r>
        <w:t>Pojawi się zapalone na stałe czerwone światło LED, oznaczające, że słuchawki są ładowane.</w:t>
      </w:r>
    </w:p>
    <w:p w:rsidR="00E97EDE" w:rsidRDefault="00E97EDE" w:rsidP="009D5A43">
      <w:pPr>
        <w:pStyle w:val="Listeafsnit"/>
        <w:numPr>
          <w:ilvl w:val="0"/>
          <w:numId w:val="1"/>
        </w:numPr>
        <w:ind w:firstLineChars="0"/>
        <w:jc w:val="left"/>
      </w:pPr>
      <w:r>
        <w:t>Gdy ładowanie zostanie zakończone, LED zmieni kolor na niebieski.</w:t>
      </w:r>
    </w:p>
    <w:p w:rsidR="00A22CD1" w:rsidRDefault="00E97EDE" w:rsidP="009D5A43">
      <w:pPr>
        <w:pStyle w:val="Listeafsnit"/>
        <w:numPr>
          <w:ilvl w:val="0"/>
          <w:numId w:val="1"/>
        </w:numPr>
        <w:ind w:firstLineChars="0"/>
        <w:jc w:val="left"/>
      </w:pPr>
      <w:r>
        <w:t>Czas ładowania zajmuje około 1 do 2 godzin.</w:t>
      </w:r>
    </w:p>
    <w:p w:rsidR="00A22CD1" w:rsidRDefault="00A22CD1" w:rsidP="00A22CD1">
      <w:pPr>
        <w:jc w:val="left"/>
      </w:pPr>
    </w:p>
    <w:p w:rsidR="00A22CD1" w:rsidRPr="00232467" w:rsidRDefault="00232467" w:rsidP="00A22CD1">
      <w:pPr>
        <w:jc w:val="left"/>
        <w:rPr>
          <w:b/>
        </w:rPr>
      </w:pPr>
      <w:r>
        <w:rPr>
          <w:b/>
        </w:rPr>
        <w:t>Włączanie/wyłączanie</w:t>
      </w:r>
    </w:p>
    <w:p w:rsidR="00232467" w:rsidRDefault="00232467" w:rsidP="00232467">
      <w:pPr>
        <w:pStyle w:val="Listeafsnit"/>
        <w:numPr>
          <w:ilvl w:val="0"/>
          <w:numId w:val="3"/>
        </w:numPr>
        <w:ind w:firstLineChars="0"/>
        <w:jc w:val="left"/>
      </w:pPr>
      <w:r>
        <w:t>Naciśnij i przytrzymaj na około 5 sekund włącznik z prawej strony słuchawki.</w:t>
      </w:r>
    </w:p>
    <w:p w:rsidR="00232467" w:rsidRDefault="00232467" w:rsidP="00232467">
      <w:pPr>
        <w:pStyle w:val="Listeafsnit"/>
        <w:numPr>
          <w:ilvl w:val="0"/>
          <w:numId w:val="3"/>
        </w:numPr>
        <w:ind w:firstLineChars="0"/>
        <w:jc w:val="left"/>
      </w:pPr>
      <w:r>
        <w:t>Ze słuchawek rozlegnie się dźwięk, a niebieskie światło LED będzie oznaczać, że słuchawki się włączają.</w:t>
      </w:r>
    </w:p>
    <w:p w:rsidR="00A22CD1" w:rsidRDefault="00232467" w:rsidP="00232467">
      <w:pPr>
        <w:pStyle w:val="Listeafsnit"/>
        <w:numPr>
          <w:ilvl w:val="0"/>
          <w:numId w:val="3"/>
        </w:numPr>
        <w:ind w:firstLineChars="0"/>
        <w:jc w:val="left"/>
      </w:pPr>
      <w:r>
        <w:t>Aby wyłączyć bezprzewodowe słuchawki Bluetooth, ponownie naciśnij i przytrzymaj przez 6 sekund włącznik, aż światło LED zgaśnie.</w:t>
      </w:r>
    </w:p>
    <w:p w:rsidR="00A22CD1" w:rsidRDefault="00A22CD1" w:rsidP="00A22CD1">
      <w:pPr>
        <w:jc w:val="left"/>
      </w:pPr>
    </w:p>
    <w:p w:rsidR="00A22CD1" w:rsidRPr="00232467" w:rsidRDefault="00232467" w:rsidP="00A22CD1">
      <w:pPr>
        <w:jc w:val="left"/>
        <w:rPr>
          <w:b/>
        </w:rPr>
      </w:pPr>
      <w:r>
        <w:rPr>
          <w:b/>
        </w:rPr>
        <w:t>Parowanie i łączenie z nowym urządzeniem</w:t>
      </w:r>
    </w:p>
    <w:p w:rsidR="00232467" w:rsidRDefault="00232467" w:rsidP="00232467">
      <w:pPr>
        <w:pStyle w:val="Listeafsnit"/>
        <w:numPr>
          <w:ilvl w:val="0"/>
          <w:numId w:val="5"/>
        </w:numPr>
        <w:ind w:firstLineChars="0"/>
        <w:jc w:val="left"/>
      </w:pPr>
      <w:r>
        <w:t>Włącz bezprzewodowe słuchawki Bluetooth (przeczytaj w sekcji „Włączanie”).</w:t>
      </w:r>
    </w:p>
    <w:p w:rsidR="00232467" w:rsidRDefault="00232467" w:rsidP="00232467">
      <w:pPr>
        <w:pStyle w:val="Listeafsnit"/>
        <w:numPr>
          <w:ilvl w:val="0"/>
          <w:numId w:val="5"/>
        </w:numPr>
        <w:ind w:firstLineChars="0"/>
        <w:jc w:val="left"/>
      </w:pPr>
      <w:r>
        <w:t>Przed sparowaniem słuchawek z nowym urządzeniem czerwony i niebieski wskaźnik LED będą naprzemiennie migać, oznaczając, że słuchawki gotowe są do parowania z urządzeniem.</w:t>
      </w:r>
    </w:p>
    <w:p w:rsidR="00232467" w:rsidRDefault="00232467" w:rsidP="00232467">
      <w:pPr>
        <w:pStyle w:val="Listeafsnit"/>
        <w:numPr>
          <w:ilvl w:val="0"/>
          <w:numId w:val="5"/>
        </w:numPr>
        <w:ind w:firstLineChars="0"/>
        <w:jc w:val="left"/>
      </w:pPr>
      <w:r>
        <w:t>W smartfonie, tablecie lub odtwarzaczu mediów z Bluetooth przejdź do menu ustawień Bluetooth, włącz funkcję Bluetooth i wyszukaj nowe urządzenia.</w:t>
      </w:r>
    </w:p>
    <w:p w:rsidR="00232467" w:rsidRDefault="00232467" w:rsidP="00232467">
      <w:pPr>
        <w:pStyle w:val="Listeafsnit"/>
        <w:numPr>
          <w:ilvl w:val="0"/>
          <w:numId w:val="5"/>
        </w:numPr>
        <w:ind w:firstLineChars="0"/>
        <w:jc w:val="left"/>
      </w:pPr>
      <w:r>
        <w:t>Po kilku sekundach na liście wyświetli się „BTH-2</w:t>
      </w:r>
      <w:r w:rsidR="0071119F">
        <w:t>50</w:t>
      </w:r>
      <w:r>
        <w:t>”.</w:t>
      </w:r>
    </w:p>
    <w:p w:rsidR="00232467" w:rsidRDefault="00232467" w:rsidP="00232467">
      <w:pPr>
        <w:pStyle w:val="Listeafsnit"/>
        <w:numPr>
          <w:ilvl w:val="0"/>
          <w:numId w:val="5"/>
        </w:numPr>
        <w:ind w:firstLineChars="0"/>
        <w:jc w:val="left"/>
      </w:pPr>
      <w:r>
        <w:t>Stuknij ten model, by go zaznaczyć. Zapalone na stałe niebieskie światło LED oznacza, że urządzenie zostało z powodzeniem sparowane.</w:t>
      </w:r>
    </w:p>
    <w:p w:rsidR="00232467" w:rsidRDefault="00232467" w:rsidP="00232467">
      <w:pPr>
        <w:pStyle w:val="Listeafsnit"/>
        <w:numPr>
          <w:ilvl w:val="0"/>
          <w:numId w:val="5"/>
        </w:numPr>
        <w:ind w:firstLineChars="0"/>
        <w:jc w:val="left"/>
      </w:pPr>
      <w:r>
        <w:t>Jeśli poprzednio sparowane urządzenie Bluetooth jest włączone i w zasięgu, słuchawki automatycznie ponownie połączą się z ostatnim urządzeniem Bluetooth, z którym były sparowane.</w:t>
      </w:r>
    </w:p>
    <w:p w:rsidR="00232467" w:rsidRPr="002A17D3" w:rsidRDefault="00232467" w:rsidP="00232467">
      <w:pPr>
        <w:jc w:val="left"/>
      </w:pPr>
    </w:p>
    <w:p w:rsidR="00A22CD1" w:rsidRPr="002A17D3" w:rsidRDefault="00232467" w:rsidP="00232467">
      <w:pPr>
        <w:jc w:val="left"/>
        <w:rPr>
          <w:b/>
        </w:rPr>
      </w:pPr>
      <w:r>
        <w:rPr>
          <w:b/>
        </w:rPr>
        <w:t>UWAGA: Jeśli słuchawki nie są używane przez 10 minut, to automatycznie wyłączą się w celu oszczędzaniu energii.</w:t>
      </w:r>
    </w:p>
    <w:p w:rsidR="00A22CD1" w:rsidRDefault="00A22CD1" w:rsidP="00A22CD1">
      <w:pPr>
        <w:jc w:val="left"/>
      </w:pPr>
    </w:p>
    <w:p w:rsidR="00A22CD1" w:rsidRPr="002A17D3" w:rsidRDefault="002A17D3" w:rsidP="00A22CD1">
      <w:pPr>
        <w:jc w:val="left"/>
        <w:rPr>
          <w:b/>
        </w:rPr>
      </w:pPr>
      <w:r>
        <w:rPr>
          <w:b/>
        </w:rPr>
        <w:t>Odtwarzanie</w:t>
      </w:r>
    </w:p>
    <w:p w:rsidR="002A17D3" w:rsidRDefault="002A17D3" w:rsidP="002A17D3">
      <w:pPr>
        <w:pStyle w:val="Listeafsnit"/>
        <w:numPr>
          <w:ilvl w:val="0"/>
          <w:numId w:val="6"/>
        </w:numPr>
        <w:ind w:firstLineChars="0"/>
        <w:jc w:val="left"/>
      </w:pPr>
      <w:r>
        <w:t>Podłącz urządzenie do słuchawek poprzez Bluetooth (przeczytaj sekcję „Parowanie i łączenie”).</w:t>
      </w:r>
    </w:p>
    <w:p w:rsidR="002A17D3" w:rsidRDefault="002A17D3" w:rsidP="002A17D3">
      <w:pPr>
        <w:pStyle w:val="Listeafsnit"/>
        <w:numPr>
          <w:ilvl w:val="0"/>
          <w:numId w:val="6"/>
        </w:numPr>
        <w:ind w:firstLineChars="0"/>
        <w:jc w:val="left"/>
      </w:pPr>
      <w:r>
        <w:t>Otwórz ulubioną aplikację muzyczną i rozpocznij odtwarzanie.</w:t>
      </w:r>
    </w:p>
    <w:p w:rsidR="002A17D3" w:rsidRDefault="002A17D3" w:rsidP="002A17D3">
      <w:pPr>
        <w:pStyle w:val="Listeafsnit"/>
        <w:numPr>
          <w:ilvl w:val="0"/>
          <w:numId w:val="6"/>
        </w:numPr>
        <w:ind w:firstLineChars="0"/>
        <w:jc w:val="left"/>
      </w:pPr>
      <w:r>
        <w:t>Kontroluj muzykę, ścieżkę i głośność z urządzenia lub muzykę i głośność na ekranie dotykowym (przeczytaj sekcję „funkcja dotykowa”). Naciśnij raz włącznik, by odtwarzać/wstrzymać muzykę oraz odbierać połączenia. Naciśnij dwa razy, by ponownie wybrać numer w telefonie. Naciśnij i przytrzymaj, by odrzucić połączenie przychodzące.</w:t>
      </w:r>
    </w:p>
    <w:p w:rsidR="00A22CD1" w:rsidRDefault="002A17D3" w:rsidP="002A17D3">
      <w:pPr>
        <w:pStyle w:val="Listeafsnit"/>
        <w:numPr>
          <w:ilvl w:val="0"/>
          <w:numId w:val="6"/>
        </w:numPr>
        <w:ind w:firstLineChars="0"/>
        <w:jc w:val="left"/>
      </w:pPr>
      <w:r>
        <w:t>Wszystkie dźwięki, włącznie z muzyką, grami, filmami i powiadomieniami będą przekierowane do słuchawek.</w:t>
      </w:r>
    </w:p>
    <w:p w:rsidR="006764E7" w:rsidRDefault="006764E7">
      <w:pPr>
        <w:widowControl/>
        <w:jc w:val="left"/>
      </w:pPr>
      <w:r>
        <w:br w:type="page"/>
      </w:r>
    </w:p>
    <w:p w:rsidR="00A22CD1" w:rsidRPr="00D35785" w:rsidRDefault="00D35785" w:rsidP="00A22CD1">
      <w:pPr>
        <w:jc w:val="left"/>
        <w:rPr>
          <w:b/>
        </w:rPr>
      </w:pPr>
      <w:r>
        <w:rPr>
          <w:b/>
        </w:rPr>
        <w:lastRenderedPageBreak/>
        <w:t>Funkcja dotykowa</w:t>
      </w:r>
    </w:p>
    <w:p w:rsidR="00D35785" w:rsidRDefault="00D35785" w:rsidP="00D35785">
      <w:pPr>
        <w:pStyle w:val="Listeafsnit"/>
        <w:numPr>
          <w:ilvl w:val="0"/>
          <w:numId w:val="7"/>
        </w:numPr>
        <w:ind w:firstLineChars="0"/>
        <w:jc w:val="left"/>
      </w:pPr>
      <w:r>
        <w:t>Naciśnij rejon A (patrz diagram produktu), by zmniejszyć poziom głośności.</w:t>
      </w:r>
    </w:p>
    <w:p w:rsidR="00D35785" w:rsidRDefault="00D35785" w:rsidP="00D35785">
      <w:pPr>
        <w:pStyle w:val="Listeafsnit"/>
        <w:numPr>
          <w:ilvl w:val="0"/>
          <w:numId w:val="7"/>
        </w:numPr>
        <w:ind w:firstLineChars="0"/>
        <w:jc w:val="left"/>
      </w:pPr>
      <w:r>
        <w:t>Naciśnij rejon B (patrz diagram produktu), by zwiększyć poziom głośności.</w:t>
      </w:r>
    </w:p>
    <w:p w:rsidR="00D35785" w:rsidRDefault="00D35785" w:rsidP="00D35785">
      <w:pPr>
        <w:pStyle w:val="Listeafsnit"/>
        <w:numPr>
          <w:ilvl w:val="0"/>
          <w:numId w:val="7"/>
        </w:numPr>
        <w:ind w:firstLineChars="0"/>
        <w:jc w:val="left"/>
      </w:pPr>
      <w:r>
        <w:t>Naciśnij i przytrzymaj rejon A (patrz diagram produktu), by przełączyć do poprzedniej ścieżki.</w:t>
      </w:r>
    </w:p>
    <w:p w:rsidR="00D35785" w:rsidRDefault="00D35785" w:rsidP="00D35785">
      <w:pPr>
        <w:pStyle w:val="Listeafsnit"/>
        <w:numPr>
          <w:ilvl w:val="0"/>
          <w:numId w:val="7"/>
        </w:numPr>
        <w:ind w:firstLineChars="0"/>
        <w:jc w:val="left"/>
      </w:pPr>
      <w:r>
        <w:t>Naciśnij i przytrzymaj rejon B (patrz diagram produktu), by przełączyć do następnej ścieżki.</w:t>
      </w:r>
    </w:p>
    <w:p w:rsidR="00D35785" w:rsidRPr="00D35785" w:rsidRDefault="00D35785" w:rsidP="00D35785">
      <w:pPr>
        <w:pStyle w:val="Listeafsnit"/>
        <w:numPr>
          <w:ilvl w:val="0"/>
          <w:numId w:val="7"/>
        </w:numPr>
        <w:ind w:firstLineChars="0"/>
        <w:jc w:val="left"/>
        <w:rPr>
          <w:b/>
        </w:rPr>
      </w:pPr>
      <w:r>
        <w:rPr>
          <w:b/>
        </w:rPr>
        <w:t>Naciśnij zarówno rejon A i B, by przełączyć wskaźnik języka, gdy słuchawki Bluetooth nie są podłączone do żadnych urządzeń Bluetooth.</w:t>
      </w:r>
    </w:p>
    <w:p w:rsidR="00D35785" w:rsidRDefault="00D35785" w:rsidP="00D35785">
      <w:pPr>
        <w:jc w:val="left"/>
      </w:pPr>
    </w:p>
    <w:p w:rsidR="00A22CD1" w:rsidRDefault="00D35785" w:rsidP="00D35785">
      <w:pPr>
        <w:jc w:val="left"/>
      </w:pPr>
      <w:r>
        <w:t>UWAGA: Gest naciśnięcia i stuknięcia odpowiedniego rejonu oferuje płynną obsługę.</w:t>
      </w:r>
    </w:p>
    <w:p w:rsidR="00A22CD1" w:rsidRDefault="00A22CD1" w:rsidP="00A22CD1">
      <w:pPr>
        <w:jc w:val="left"/>
      </w:pPr>
    </w:p>
    <w:p w:rsidR="00A22CD1" w:rsidRPr="00DF4D6D" w:rsidRDefault="00DF4D6D" w:rsidP="00A22CD1">
      <w:pPr>
        <w:jc w:val="left"/>
        <w:rPr>
          <w:b/>
        </w:rPr>
      </w:pPr>
      <w:r>
        <w:rPr>
          <w:b/>
        </w:rPr>
        <w:t>Rozwiązywanie problemów</w:t>
      </w:r>
    </w:p>
    <w:p w:rsidR="00A22CD1" w:rsidRDefault="00DF4D6D" w:rsidP="00A22CD1">
      <w:pPr>
        <w:jc w:val="left"/>
      </w:pPr>
      <w:r>
        <w:t>Brak zasilania</w:t>
      </w:r>
    </w:p>
    <w:p w:rsidR="00A22CD1" w:rsidRDefault="00DF4D6D" w:rsidP="00DF4D6D">
      <w:pPr>
        <w:jc w:val="left"/>
      </w:pPr>
      <w:r>
        <w:t>Naładuj bezprzewodowe słuchawki Bluetooth, korzystając z kabla micro USB.</w:t>
      </w:r>
    </w:p>
    <w:p w:rsidR="00A22CD1" w:rsidRDefault="00A22CD1" w:rsidP="00A22CD1">
      <w:pPr>
        <w:jc w:val="left"/>
      </w:pPr>
    </w:p>
    <w:p w:rsidR="00A22CD1" w:rsidRDefault="00DF4D6D" w:rsidP="00DF4D6D">
      <w:pPr>
        <w:jc w:val="left"/>
      </w:pPr>
      <w:r>
        <w:t>Muzyka nie jest odtwarzana przez Bluetooth</w:t>
      </w:r>
    </w:p>
    <w:p w:rsidR="00A22CD1" w:rsidRPr="00DF4D6D" w:rsidRDefault="00DF4D6D" w:rsidP="00DF4D6D">
      <w:pPr>
        <w:jc w:val="left"/>
      </w:pPr>
      <w:r>
        <w:t>Upewnij się, że urządzenie Bluetooth posiada profil A2DP. Sprawdź, czy oba urządzenia są sparowane i połączone przez Bluetooth. Ponownie uruchom słuchawki, by połączyć z urządzeniem Bluetooth.</w:t>
      </w:r>
    </w:p>
    <w:p w:rsidR="00A22CD1" w:rsidRDefault="00A22CD1" w:rsidP="00A22CD1">
      <w:pPr>
        <w:jc w:val="left"/>
      </w:pPr>
    </w:p>
    <w:p w:rsidR="00A22CD1" w:rsidRDefault="00DF4D6D" w:rsidP="00DF4D6D">
      <w:pPr>
        <w:jc w:val="left"/>
      </w:pPr>
      <w:r>
        <w:t>Bluetooth nie łączy się ze słuchawkami</w:t>
      </w:r>
    </w:p>
    <w:p w:rsidR="00DF4D6D" w:rsidRPr="00DF4D6D" w:rsidRDefault="00DF4D6D" w:rsidP="00DF4D6D">
      <w:pPr>
        <w:jc w:val="left"/>
      </w:pPr>
      <w:r>
        <w:t>Przejdź do menu ustawień Bluetooth w urządzeniu Bluetooth, stuknij „BTH-</w:t>
      </w:r>
      <w:r w:rsidR="0071119F">
        <w:t>250</w:t>
      </w:r>
      <w:r>
        <w:t>” i wybierz „Zapomnij”. Teraz ponownie wykonaj czynności parowania urządzenia. Lub naciśnij i przytrzymaj włącznik na słuchawkach (gdy są włączone), by rozłączyć słuchawki z wszelkimi połączonymi urządzeniami. Następnie ponownie wykonaj czynności parowania urządzenia.</w:t>
      </w:r>
    </w:p>
    <w:p w:rsidR="00DF4D6D" w:rsidRDefault="00DF4D6D" w:rsidP="00A22CD1">
      <w:pPr>
        <w:jc w:val="left"/>
      </w:pPr>
    </w:p>
    <w:p w:rsidR="00DF4D6D" w:rsidRPr="00507E28" w:rsidRDefault="00507E28" w:rsidP="00A22CD1">
      <w:pPr>
        <w:jc w:val="left"/>
        <w:rPr>
          <w:b/>
        </w:rPr>
      </w:pPr>
      <w:r>
        <w:rPr>
          <w:b/>
        </w:rPr>
        <w:t>Rysunki urządzenia</w:t>
      </w:r>
    </w:p>
    <w:p w:rsidR="00DF4D6D" w:rsidRDefault="00507E28" w:rsidP="00A22CD1">
      <w:pPr>
        <w:jc w:val="left"/>
      </w:pPr>
      <w:r>
        <w:rPr>
          <w:noProof/>
        </w:rPr>
        <w:drawing>
          <wp:inline distT="0" distB="0" distL="0" distR="0">
            <wp:extent cx="3350362" cy="2145674"/>
            <wp:effectExtent l="0" t="0" r="2540" b="6985"/>
            <wp:docPr id="2" name="图片 2" descr="C:\Users\dtp20180303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p20180303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9" cy="214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07E28" w:rsidRPr="00507E28" w:rsidTr="00507E28">
        <w:tc>
          <w:tcPr>
            <w:tcW w:w="8522" w:type="dxa"/>
          </w:tcPr>
          <w:p w:rsidR="00507E28" w:rsidRPr="00507E28" w:rsidRDefault="00507E28" w:rsidP="00955F76">
            <w:pPr>
              <w:jc w:val="left"/>
              <w:rPr>
                <w:b/>
              </w:rPr>
            </w:pPr>
            <w:r>
              <w:rPr>
                <w:b/>
              </w:rPr>
              <w:t>PL</w:t>
            </w:r>
          </w:p>
        </w:tc>
      </w:tr>
      <w:tr w:rsidR="00507E28" w:rsidRPr="00507E28" w:rsidTr="00507E28">
        <w:tc>
          <w:tcPr>
            <w:tcW w:w="8522" w:type="dxa"/>
          </w:tcPr>
          <w:p w:rsidR="00507E28" w:rsidRPr="00507E28" w:rsidRDefault="00507E28" w:rsidP="00955F76">
            <w:pPr>
              <w:jc w:val="left"/>
            </w:pPr>
            <w:r>
              <w:t>Wskaźnik LED</w:t>
            </w:r>
          </w:p>
        </w:tc>
      </w:tr>
      <w:tr w:rsidR="00507E28" w:rsidRPr="00967F99" w:rsidTr="00507E28">
        <w:tc>
          <w:tcPr>
            <w:tcW w:w="8522" w:type="dxa"/>
          </w:tcPr>
          <w:p w:rsidR="00507E28" w:rsidRPr="00C91973" w:rsidRDefault="00507E28" w:rsidP="00955F76">
            <w:pPr>
              <w:jc w:val="left"/>
            </w:pPr>
            <w:r>
              <w:t>Port ładowania USB/kabel pomocniczy</w:t>
            </w:r>
          </w:p>
        </w:tc>
      </w:tr>
      <w:tr w:rsidR="00507E28" w:rsidRPr="00507E28" w:rsidTr="007527CE">
        <w:trPr>
          <w:trHeight w:val="1278"/>
        </w:trPr>
        <w:tc>
          <w:tcPr>
            <w:tcW w:w="8522" w:type="dxa"/>
          </w:tcPr>
          <w:p w:rsidR="00507E28" w:rsidRPr="00507E28" w:rsidRDefault="00507E28" w:rsidP="00955F76">
            <w:pPr>
              <w:jc w:val="left"/>
            </w:pPr>
            <w:r>
              <w:t>Naciśnij i przytrzymaj (6 s): Włącznik/wyłącznik zasilania</w:t>
            </w:r>
          </w:p>
          <w:p w:rsidR="00507E28" w:rsidRPr="00507E28" w:rsidRDefault="00507E28" w:rsidP="00955F76">
            <w:pPr>
              <w:jc w:val="left"/>
            </w:pPr>
            <w:r>
              <w:t>Pojedyncze kliknięcie: Odtwarzanie/wstrzymanie, odbieranie/zakończenie połączenia</w:t>
            </w:r>
          </w:p>
          <w:p w:rsidR="00507E28" w:rsidRPr="00507E28" w:rsidRDefault="00507E28" w:rsidP="00955F76">
            <w:pPr>
              <w:jc w:val="left"/>
            </w:pPr>
            <w:r>
              <w:t>Dwukrotne kliknięcie: Ponowne wybranie ostatniego numeru telefonu</w:t>
            </w:r>
          </w:p>
          <w:p w:rsidR="00507E28" w:rsidRPr="00507E28" w:rsidRDefault="00507E28" w:rsidP="00955F76">
            <w:pPr>
              <w:jc w:val="left"/>
            </w:pPr>
            <w:r>
              <w:t>Naciśnij i przytrzymaj (1-2 s): Odrzucenie połączenia przychodzącego</w:t>
            </w:r>
          </w:p>
        </w:tc>
      </w:tr>
      <w:tr w:rsidR="00507E28" w:rsidRPr="00507E28" w:rsidTr="00507E28">
        <w:tc>
          <w:tcPr>
            <w:tcW w:w="8522" w:type="dxa"/>
          </w:tcPr>
          <w:p w:rsidR="00507E28" w:rsidRPr="00507E28" w:rsidRDefault="00301394" w:rsidP="00955F76">
            <w:pPr>
              <w:jc w:val="left"/>
            </w:pPr>
            <w:r>
              <w:lastRenderedPageBreak/>
              <w:t>Poprzednia ścieżka/Zwiększenie poziomu głośności</w:t>
            </w:r>
          </w:p>
        </w:tc>
      </w:tr>
      <w:tr w:rsidR="00507E28" w:rsidRPr="00507E28" w:rsidTr="00507E28">
        <w:tc>
          <w:tcPr>
            <w:tcW w:w="8522" w:type="dxa"/>
          </w:tcPr>
          <w:p w:rsidR="00507E28" w:rsidRPr="00507E28" w:rsidRDefault="00301394" w:rsidP="00955F76">
            <w:pPr>
              <w:jc w:val="left"/>
            </w:pPr>
            <w:r>
              <w:t>Następna ścieżka/Zmniejszenie poziomu głośności</w:t>
            </w:r>
          </w:p>
        </w:tc>
      </w:tr>
      <w:tr w:rsidR="00507E28" w:rsidRPr="00507E28" w:rsidTr="00507E28">
        <w:tc>
          <w:tcPr>
            <w:tcW w:w="8522" w:type="dxa"/>
          </w:tcPr>
          <w:p w:rsidR="00507E28" w:rsidRPr="00507E28" w:rsidRDefault="00507E28" w:rsidP="00955F76">
            <w:pPr>
              <w:jc w:val="left"/>
            </w:pPr>
            <w:r>
              <w:t>Mikrofon</w:t>
            </w:r>
          </w:p>
        </w:tc>
      </w:tr>
    </w:tbl>
    <w:p w:rsidR="00D370DD" w:rsidRDefault="00D370DD" w:rsidP="00507E28">
      <w:pPr>
        <w:jc w:val="left"/>
      </w:pPr>
    </w:p>
    <w:p w:rsidR="00D370DD" w:rsidRDefault="00D370DD">
      <w:pPr>
        <w:widowControl/>
        <w:jc w:val="left"/>
      </w:pPr>
      <w:r>
        <w:br w:type="page"/>
      </w:r>
    </w:p>
    <w:p w:rsidR="00D370DD" w:rsidRDefault="00D370DD" w:rsidP="00D370DD">
      <w:pPr>
        <w:jc w:val="center"/>
      </w:pPr>
      <w:r>
        <w:lastRenderedPageBreak/>
        <w:t>WSZYSTKIE PRAWA ZASTRZEŻONE, PRAWA AUTORSKIE DENVER ELECTRONICS A/S</w:t>
      </w:r>
    </w:p>
    <w:p w:rsidR="00D370DD" w:rsidRDefault="00D370DD" w:rsidP="00D370DD">
      <w:pPr>
        <w:jc w:val="center"/>
      </w:pPr>
      <w:r>
        <w:rPr>
          <w:rFonts w:ascii="Arial" w:hAnsi="Arial"/>
          <w:noProof/>
          <w:sz w:val="22"/>
        </w:rPr>
        <w:drawing>
          <wp:inline distT="0" distB="0" distL="0" distR="0" wp14:anchorId="3F03903A" wp14:editId="06C0CBB4">
            <wp:extent cx="2291316" cy="2040941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84" cy="204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0DD" w:rsidRDefault="00D370DD" w:rsidP="00D370DD">
      <w:pPr>
        <w:jc w:val="left"/>
      </w:pPr>
      <w:r>
        <w:t>Urządzenia elektryczne i elektroniczne oraz baterie zawierają materiały, komponenty i substancje, które mogą być niebezpieczne dla zdrowia i środowiska, jeśli ze zużytymi materiałami (wyrzucanymi urządzenia elektrycznymi i elektronicznymi oraz bateriami) nie postępuje się właściwie.</w:t>
      </w:r>
    </w:p>
    <w:p w:rsidR="00D370DD" w:rsidRDefault="00D370DD" w:rsidP="00D370DD">
      <w:pPr>
        <w:jc w:val="left"/>
      </w:pPr>
    </w:p>
    <w:p w:rsidR="00D370DD" w:rsidRDefault="00D370DD" w:rsidP="00D370DD">
      <w:pPr>
        <w:jc w:val="left"/>
      </w:pPr>
      <w:r>
        <w:t>Urządzenia elektryczne i elektroniczne oraz baterie są zaznaczone przekreślonym symbolem pojemnika na śmieci, patrz poniżej. Ten symbol oznacza, że urządzenia elektryczne i elektroniczne oraz baterie nie powinny być wyrzucane razem z innymi odpadami domowymi, lecz powinny być wyrzucane oddzielnie.</w:t>
      </w:r>
    </w:p>
    <w:p w:rsidR="00D370DD" w:rsidRDefault="00D370DD" w:rsidP="00D370DD">
      <w:pPr>
        <w:jc w:val="left"/>
      </w:pPr>
    </w:p>
    <w:p w:rsidR="00D370DD" w:rsidRDefault="00D370DD" w:rsidP="00D370DD">
      <w:pPr>
        <w:jc w:val="left"/>
      </w:pPr>
      <w:r>
        <w:t>Użytkownicy powinni przekazywać zużyte baterie do odpowiednich, wyznaczonych punktów. W ten sposób zapewniasz, że baterie podlegają procesowi recyklingu zgodnie z rozporządzeniami władz i nie będą szkodzić środowisku.</w:t>
      </w:r>
    </w:p>
    <w:p w:rsidR="00D370DD" w:rsidRDefault="00D370DD" w:rsidP="00D370DD">
      <w:pPr>
        <w:jc w:val="left"/>
      </w:pPr>
    </w:p>
    <w:p w:rsidR="00D370DD" w:rsidRDefault="00D370DD" w:rsidP="00D370DD">
      <w:pPr>
        <w:jc w:val="left"/>
      </w:pPr>
      <w:r>
        <w:t>We wszystkich miastach powstały punkty zbiórki, gdzie można oddać bezpłatnie urządzenia elektryczne i elektroniczne oraz baterie do stanowisk recyklingu bądź innych miejsc zbiorki, albo urządzenia i baterie mogą być odebrane z domu. Dodatkowe informacje znajdują się w wydziale technicznym urzędu miasta.</w:t>
      </w:r>
    </w:p>
    <w:p w:rsidR="00D370DD" w:rsidRDefault="00D370DD" w:rsidP="00D370DD">
      <w:pPr>
        <w:jc w:val="left"/>
      </w:pPr>
    </w:p>
    <w:p w:rsidR="00D370DD" w:rsidRDefault="00D370DD" w:rsidP="00967F99">
      <w:pPr>
        <w:jc w:val="left"/>
      </w:pPr>
      <w:r>
        <w:t>Inter Sales A/S niniejszym oświadcza, że typ urządzenia radiowego BTH-2</w:t>
      </w:r>
      <w:r w:rsidR="0071119F">
        <w:t>50</w:t>
      </w:r>
      <w:r>
        <w:t xml:space="preserve"> jest zgodny z dyrektywą 2014/53/EU. Pełna treść deklaracji zgodności UE jest dostępna pod poniższym adresem internetowym:</w:t>
      </w:r>
      <w:r w:rsidR="0071119F">
        <w:t xml:space="preserve"> </w:t>
      </w:r>
      <w:r>
        <w:t>www.denver-electronics.com. Kliknij IKONĘ wyszukiwania na górze strony. Wpisz numer modelu: BTH-2</w:t>
      </w:r>
      <w:r w:rsidR="0071119F">
        <w:t>50</w:t>
      </w:r>
      <w:r>
        <w:t xml:space="preserve"> Teraz wejdź na stronę produktu. Czerwona dyrektywa znajduje się w „do pobrania/inne do pobrania”.</w:t>
      </w:r>
    </w:p>
    <w:p w:rsidR="00D370DD" w:rsidRDefault="00D370DD" w:rsidP="00D370DD">
      <w:pPr>
        <w:jc w:val="left"/>
      </w:pPr>
      <w:r>
        <w:t>Zakres częstotliwości pracy:</w:t>
      </w:r>
      <w:r w:rsidR="0071119F" w:rsidRPr="0071119F">
        <w:t xml:space="preserve"> 2402-2408MHz</w:t>
      </w:r>
    </w:p>
    <w:p w:rsidR="00D370DD" w:rsidRDefault="00D370DD" w:rsidP="00D370DD">
      <w:pPr>
        <w:jc w:val="left"/>
      </w:pPr>
      <w:r>
        <w:t>Maks. moc wyjściowa:</w:t>
      </w:r>
      <w:r w:rsidR="0071119F" w:rsidRPr="0071119F">
        <w:t xml:space="preserve"> 40mW</w:t>
      </w:r>
    </w:p>
    <w:p w:rsidR="00D370DD" w:rsidRDefault="00D370DD" w:rsidP="00D370DD">
      <w:pPr>
        <w:jc w:val="left"/>
      </w:pPr>
      <w:bookmarkStart w:id="0" w:name="_GoBack"/>
      <w:bookmarkEnd w:id="0"/>
    </w:p>
    <w:p w:rsidR="00D370DD" w:rsidRPr="0071119F" w:rsidRDefault="00D370DD" w:rsidP="00D370DD">
      <w:pPr>
        <w:jc w:val="left"/>
        <w:rPr>
          <w:lang w:val="en-US"/>
        </w:rPr>
      </w:pPr>
      <w:r w:rsidRPr="0071119F">
        <w:rPr>
          <w:lang w:val="en-US"/>
        </w:rPr>
        <w:t>DENVER ELECTRONICS A/S</w:t>
      </w:r>
    </w:p>
    <w:p w:rsidR="00D370DD" w:rsidRPr="0071119F" w:rsidRDefault="00D370DD" w:rsidP="00D370DD">
      <w:pPr>
        <w:jc w:val="left"/>
        <w:rPr>
          <w:lang w:val="en-US"/>
        </w:rPr>
      </w:pPr>
      <w:r w:rsidRPr="0071119F">
        <w:rPr>
          <w:lang w:val="en-US"/>
        </w:rPr>
        <w:t xml:space="preserve">Omega 5A, </w:t>
      </w:r>
      <w:proofErr w:type="spellStart"/>
      <w:r w:rsidRPr="0071119F">
        <w:rPr>
          <w:lang w:val="en-US"/>
        </w:rPr>
        <w:t>Soeften</w:t>
      </w:r>
      <w:proofErr w:type="spellEnd"/>
    </w:p>
    <w:p w:rsidR="00D370DD" w:rsidRDefault="00D370DD" w:rsidP="00D370DD">
      <w:pPr>
        <w:jc w:val="left"/>
      </w:pPr>
      <w:r>
        <w:t xml:space="preserve">DK-8382 </w:t>
      </w:r>
      <w:proofErr w:type="spellStart"/>
      <w:r>
        <w:t>Hinnerup</w:t>
      </w:r>
      <w:proofErr w:type="spellEnd"/>
    </w:p>
    <w:p w:rsidR="00D370DD" w:rsidRDefault="00D370DD" w:rsidP="00D370DD">
      <w:pPr>
        <w:jc w:val="left"/>
      </w:pPr>
      <w:r>
        <w:t>Dania</w:t>
      </w:r>
    </w:p>
    <w:p w:rsidR="00507E28" w:rsidRPr="00507E28" w:rsidRDefault="00D370DD" w:rsidP="00D370DD">
      <w:pPr>
        <w:jc w:val="left"/>
      </w:pPr>
      <w:r>
        <w:t>www.facebook.com/denverelectronics</w:t>
      </w:r>
    </w:p>
    <w:sectPr w:rsidR="00507E28" w:rsidRPr="00507E28" w:rsidSect="00E97EDE">
      <w:headerReference w:type="default" r:id="rId9"/>
      <w:pgSz w:w="11906" w:h="16838"/>
      <w:pgMar w:top="1440" w:right="1800" w:bottom="1440" w:left="1800" w:header="90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A9" w:rsidRDefault="009070A9" w:rsidP="00A22CD1">
      <w:r>
        <w:separator/>
      </w:r>
    </w:p>
  </w:endnote>
  <w:endnote w:type="continuationSeparator" w:id="0">
    <w:p w:rsidR="009070A9" w:rsidRDefault="009070A9" w:rsidP="00A2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A9" w:rsidRDefault="009070A9" w:rsidP="00A22CD1">
      <w:r>
        <w:separator/>
      </w:r>
    </w:p>
  </w:footnote>
  <w:footnote w:type="continuationSeparator" w:id="0">
    <w:p w:rsidR="009070A9" w:rsidRDefault="009070A9" w:rsidP="00A2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2841"/>
      <w:gridCol w:w="2841"/>
    </w:tblGrid>
    <w:tr w:rsidR="00E97EDE" w:rsidRPr="00E97EDE" w:rsidTr="00890C37">
      <w:tc>
        <w:tcPr>
          <w:tcW w:w="2840" w:type="dxa"/>
        </w:tcPr>
        <w:p w:rsidR="00E97EDE" w:rsidRPr="00E97EDE" w:rsidRDefault="00E97EDE" w:rsidP="00890C37">
          <w:pPr>
            <w:jc w:val="left"/>
            <w:rPr>
              <w:b/>
            </w:rPr>
          </w:pPr>
        </w:p>
      </w:tc>
      <w:tc>
        <w:tcPr>
          <w:tcW w:w="2841" w:type="dxa"/>
        </w:tcPr>
        <w:p w:rsidR="00E97EDE" w:rsidRPr="00E97EDE" w:rsidRDefault="00E97EDE" w:rsidP="00890C37">
          <w:pPr>
            <w:jc w:val="center"/>
            <w:rPr>
              <w:b/>
            </w:rPr>
          </w:pPr>
          <w:r>
            <w:rPr>
              <w:b/>
            </w:rPr>
            <w:t>KORZYSTANIE Z INSTRUKCJI</w:t>
          </w:r>
        </w:p>
      </w:tc>
      <w:tc>
        <w:tcPr>
          <w:tcW w:w="2841" w:type="dxa"/>
        </w:tcPr>
        <w:p w:rsidR="00E97EDE" w:rsidRPr="00E97EDE" w:rsidRDefault="007402C6" w:rsidP="00890C37">
          <w:pPr>
            <w:jc w:val="center"/>
            <w:rPr>
              <w:b/>
            </w:rPr>
          </w:pPr>
          <w:r>
            <w:rPr>
              <w:b/>
            </w:rPr>
            <w:t>BTH-2</w:t>
          </w:r>
          <w:r w:rsidR="0071119F">
            <w:rPr>
              <w:b/>
            </w:rPr>
            <w:t>50</w:t>
          </w:r>
        </w:p>
      </w:tc>
    </w:tr>
  </w:tbl>
  <w:p w:rsidR="00E97EDE" w:rsidRDefault="00E97EDE" w:rsidP="00E97EDE">
    <w:pPr>
      <w:pStyle w:val="Sidehove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A4F"/>
    <w:multiLevelType w:val="hybridMultilevel"/>
    <w:tmpl w:val="E8165994"/>
    <w:lvl w:ilvl="0" w:tplc="724E7644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30B39"/>
    <w:multiLevelType w:val="hybridMultilevel"/>
    <w:tmpl w:val="84461058"/>
    <w:lvl w:ilvl="0" w:tplc="724E7644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50A79"/>
    <w:multiLevelType w:val="hybridMultilevel"/>
    <w:tmpl w:val="D688C9DC"/>
    <w:lvl w:ilvl="0" w:tplc="7E4CAB0E">
      <w:numFmt w:val="bullet"/>
      <w:lvlText w:val="●"/>
      <w:lvlJc w:val="left"/>
      <w:pPr>
        <w:ind w:left="36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2035F1"/>
    <w:multiLevelType w:val="hybridMultilevel"/>
    <w:tmpl w:val="01821D6E"/>
    <w:lvl w:ilvl="0" w:tplc="8AA4573C">
      <w:numFmt w:val="bullet"/>
      <w:lvlText w:val="●"/>
      <w:lvlJc w:val="left"/>
      <w:pPr>
        <w:ind w:left="36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E16F4"/>
    <w:multiLevelType w:val="hybridMultilevel"/>
    <w:tmpl w:val="89ECB962"/>
    <w:lvl w:ilvl="0" w:tplc="724E7644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432C54"/>
    <w:multiLevelType w:val="hybridMultilevel"/>
    <w:tmpl w:val="AE56CACE"/>
    <w:lvl w:ilvl="0" w:tplc="724E7644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FD691D"/>
    <w:multiLevelType w:val="hybridMultilevel"/>
    <w:tmpl w:val="9E76BDB4"/>
    <w:lvl w:ilvl="0" w:tplc="724E7644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37"/>
    <w:rsid w:val="000C3874"/>
    <w:rsid w:val="00232467"/>
    <w:rsid w:val="002A17D3"/>
    <w:rsid w:val="00301394"/>
    <w:rsid w:val="003B1837"/>
    <w:rsid w:val="003D6F49"/>
    <w:rsid w:val="00507E28"/>
    <w:rsid w:val="005667B4"/>
    <w:rsid w:val="005D773B"/>
    <w:rsid w:val="005F2E27"/>
    <w:rsid w:val="006764E7"/>
    <w:rsid w:val="0071119F"/>
    <w:rsid w:val="007402C6"/>
    <w:rsid w:val="00773117"/>
    <w:rsid w:val="00796817"/>
    <w:rsid w:val="009070A9"/>
    <w:rsid w:val="009449A8"/>
    <w:rsid w:val="00967F99"/>
    <w:rsid w:val="009D5A43"/>
    <w:rsid w:val="00A12562"/>
    <w:rsid w:val="00A22CD1"/>
    <w:rsid w:val="00BB45B5"/>
    <w:rsid w:val="00C91973"/>
    <w:rsid w:val="00D35785"/>
    <w:rsid w:val="00D370DD"/>
    <w:rsid w:val="00DF4D6D"/>
    <w:rsid w:val="00E24C21"/>
    <w:rsid w:val="00E33FB0"/>
    <w:rsid w:val="00E62AC8"/>
    <w:rsid w:val="00E97EDE"/>
    <w:rsid w:val="00F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DDDE5"/>
  <w15:docId w15:val="{40C1E8DD-6804-4C88-8432-2335B5C3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22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A22CD1"/>
    <w:rPr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A22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A22CD1"/>
    <w:rPr>
      <w:sz w:val="18"/>
      <w:szCs w:val="18"/>
    </w:rPr>
  </w:style>
  <w:style w:type="table" w:styleId="Tabel-Gitter">
    <w:name w:val="Table Grid"/>
    <w:basedOn w:val="Tabel-Normal"/>
    <w:uiPriority w:val="59"/>
    <w:rsid w:val="00E9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7EDE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7EDE"/>
    <w:rPr>
      <w:sz w:val="18"/>
      <w:szCs w:val="18"/>
    </w:rPr>
  </w:style>
  <w:style w:type="paragraph" w:styleId="Listeafsnit">
    <w:name w:val="List Paragraph"/>
    <w:basedOn w:val="Normal"/>
    <w:uiPriority w:val="34"/>
    <w:qFormat/>
    <w:rsid w:val="009D5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dtp20180303</dc:creator>
  <cp:keywords/>
  <dc:description/>
  <cp:lastModifiedBy>Alicia Steinberg</cp:lastModifiedBy>
  <cp:revision>2</cp:revision>
  <dcterms:created xsi:type="dcterms:W3CDTF">2018-09-27T11:10:00Z</dcterms:created>
  <dcterms:modified xsi:type="dcterms:W3CDTF">2018-09-27T11:10:00Z</dcterms:modified>
</cp:coreProperties>
</file>